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四川南溪徽记食品有限</w:t>
      </w:r>
      <w:r>
        <w:rPr>
          <w:rFonts w:hint="eastAsia" w:ascii="方正小标宋简体" w:eastAsia="方正小标宋简体"/>
          <w:sz w:val="44"/>
          <w:szCs w:val="44"/>
        </w:rPr>
        <w:t>公司</w:t>
      </w:r>
    </w:p>
    <w:p>
      <w:pPr>
        <w:spacing w:after="0" w:line="5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环境信息公开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一、基础信息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（一）企业名称：</w:t>
      </w:r>
      <w:r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  <w:t>四川南溪徽记食品有限公司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（二）组织机构代码：</w:t>
      </w:r>
      <w:r>
        <w:rPr>
          <w:rFonts w:hint="eastAsia" w:hAnsi="FangSong" w:eastAsia="FangSong" w:cs="FangSong" w:asciiTheme="minorAscii"/>
          <w:b w:val="0"/>
          <w:bCs w:val="0"/>
          <w:sz w:val="30"/>
          <w:szCs w:val="30"/>
          <w:lang w:val="en-US" w:eastAsia="zh-CN"/>
        </w:rPr>
        <w:t>9151150375661500W</w:t>
      </w:r>
    </w:p>
    <w:p>
      <w:pPr>
        <w:spacing w:after="0" w:line="540" w:lineRule="exact"/>
        <w:rPr>
          <w:rFonts w:hint="default" w:eastAsia="仿宋_GB2312" w:asciiTheme="minorAscii"/>
          <w:b w:val="0"/>
          <w:bCs w:val="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（三）法定代表人：</w:t>
      </w:r>
      <w:r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  <w:t>吕金刚</w:t>
      </w:r>
    </w:p>
    <w:p>
      <w:pPr>
        <w:spacing w:after="0" w:line="540" w:lineRule="exact"/>
        <w:rPr>
          <w:rFonts w:hint="default" w:eastAsia="仿宋_GB2312" w:asciiTheme="minorAscii"/>
          <w:b w:val="0"/>
          <w:bCs w:val="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（四）生产地址：</w:t>
      </w:r>
      <w:r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  <w:t>四川省宜宾市南溪区九龙工业集中区</w:t>
      </w:r>
    </w:p>
    <w:p>
      <w:pPr>
        <w:spacing w:after="0" w:line="540" w:lineRule="exact"/>
        <w:rPr>
          <w:rFonts w:hint="default" w:eastAsia="仿宋_GB2312" w:asciiTheme="minorAscii"/>
          <w:b w:val="0"/>
          <w:bCs w:val="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（五）联系方式：</w:t>
      </w:r>
      <w:r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  <w:t>0831-3336610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（六）</w:t>
      </w:r>
      <w:r>
        <w:rPr>
          <w:rFonts w:eastAsia="仿宋_GB2312" w:asciiTheme="minorAscii"/>
          <w:b w:val="0"/>
          <w:bCs w:val="0"/>
          <w:sz w:val="30"/>
          <w:szCs w:val="30"/>
        </w:rPr>
        <w:t>生产经营和管理服务的主要内容</w:t>
      </w:r>
      <w:r>
        <w:rPr>
          <w:rFonts w:hint="eastAsia" w:eastAsia="仿宋_GB2312" w:asciiTheme="minorAscii"/>
          <w:b w:val="0"/>
          <w:bCs w:val="0"/>
          <w:sz w:val="30"/>
          <w:szCs w:val="30"/>
        </w:rPr>
        <w:t>：</w:t>
      </w:r>
      <w:r>
        <w:rPr>
          <w:rFonts w:hint="eastAsia" w:hAnsi="FangSong" w:eastAsia="FangSong" w:cs="FangSong" w:asciiTheme="minorAscii"/>
          <w:b w:val="0"/>
          <w:bCs w:val="0"/>
          <w:sz w:val="30"/>
          <w:szCs w:val="30"/>
          <w:lang w:val="en-US" w:eastAsia="zh-CN"/>
        </w:rPr>
        <w:t>四川南溪徽记食品有限公司主要生产经营：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豆制品(非发酵性豆制品、其他豆制品)生产、销售；蔬菜制品(食用菌制品)(腌渍食用菌)生产、销售；粮食收购。自营出口业务(国家限制的或禁止的食品技术除外)(依法须经批准的项目经相关部门批准后方可开展经营活动)。</w:t>
      </w:r>
    </w:p>
    <w:p>
      <w:pPr>
        <w:spacing w:after="0" w:line="540" w:lineRule="exact"/>
        <w:rPr>
          <w:rFonts w:hint="default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（七）产品及规模：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公司具有年生产2万吨的设计生产能力，现生产能力近万吨及包装。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、20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年产量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为7236.16吨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二、排污信息</w:t>
      </w:r>
    </w:p>
    <w:p>
      <w:pPr>
        <w:spacing w:after="0" w:line="540" w:lineRule="exact"/>
        <w:rPr>
          <w:rFonts w:hint="default" w:eastAsia="仿宋_GB2312" w:asciiTheme="minorAscii"/>
          <w:b w:val="0"/>
          <w:bCs w:val="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（一）主要污染物及特征污染物名称：</w:t>
      </w:r>
      <w:r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  <w:t>COD、氨氮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（二）排放方式：</w:t>
      </w:r>
    </w:p>
    <w:p>
      <w:pPr>
        <w:spacing w:after="0" w:line="540" w:lineRule="exact"/>
        <w:ind w:firstLine="600" w:firstLineChars="200"/>
        <w:rPr>
          <w:rFonts w:hint="default" w:eastAsia="仿宋_GB2312" w:asciiTheme="minorAscii"/>
          <w:b w:val="0"/>
          <w:bCs w:val="0"/>
          <w:color w:val="FF000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间排，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经处理达标后进入园区工业污水处理站集中处理。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（三）排放口数量和分布情况：</w:t>
      </w:r>
    </w:p>
    <w:p>
      <w:pPr>
        <w:spacing w:after="0" w:line="540" w:lineRule="exact"/>
        <w:ind w:firstLine="600" w:firstLineChars="200"/>
        <w:rPr>
          <w:rFonts w:hint="default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废水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排放口:1个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、废气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排放口：无（锅炉已经拆除）</w:t>
      </w:r>
    </w:p>
    <w:p>
      <w:pPr>
        <w:numPr>
          <w:ilvl w:val="0"/>
          <w:numId w:val="1"/>
        </w:numPr>
        <w:spacing w:after="0" w:line="540" w:lineRule="exact"/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排放浓度和总量：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年各污染物指标排放的浓度和总量。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COD:浓度：47.38（毫克/每升）总量：12.94（吨）</w:t>
      </w:r>
    </w:p>
    <w:p>
      <w:pPr>
        <w:numPr>
          <w:ilvl w:val="0"/>
          <w:numId w:val="0"/>
        </w:numPr>
        <w:spacing w:after="0" w:line="540" w:lineRule="exact"/>
        <w:rPr>
          <w:rFonts w:hint="default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氨氮：浓度：46.15（毫克/每升）总量：12.96（吨）</w:t>
      </w:r>
    </w:p>
    <w:p>
      <w:pPr>
        <w:numPr>
          <w:ilvl w:val="0"/>
          <w:numId w:val="1"/>
        </w:numPr>
        <w:spacing w:after="0" w:line="540" w:lineRule="exact"/>
        <w:ind w:left="0" w:leftChars="0" w:firstLine="0" w:firstLineChars="0"/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超标情况：</w:t>
      </w:r>
      <w:r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  <w:t>无超标排放</w:t>
      </w:r>
    </w:p>
    <w:p>
      <w:pPr>
        <w:numPr>
          <w:ilvl w:val="0"/>
          <w:numId w:val="1"/>
        </w:numPr>
        <w:spacing w:after="0" w:line="540" w:lineRule="exact"/>
        <w:ind w:left="0" w:leftChars="0" w:firstLine="0" w:firstLineChars="0"/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执行的污染物排放标准：</w:t>
      </w:r>
      <w:r>
        <w:rPr>
          <w:rFonts w:hint="eastAsia" w:eastAsia="仿宋_GB2312" w:asciiTheme="minorAscii"/>
          <w:b w:val="0"/>
          <w:bCs w:val="0"/>
          <w:sz w:val="30"/>
          <w:szCs w:val="30"/>
          <w:lang w:val="en-US" w:eastAsia="zh-CN"/>
        </w:rPr>
        <w:t>污水排放标准为《污水综合排放标准》（GB8979-1996）的三级排放标准。</w:t>
      </w:r>
    </w:p>
    <w:p>
      <w:pPr>
        <w:numPr>
          <w:ilvl w:val="0"/>
          <w:numId w:val="0"/>
        </w:numPr>
        <w:spacing w:after="0" w:line="540" w:lineRule="exact"/>
        <w:ind w:leftChars="0"/>
        <w:rPr>
          <w:rFonts w:hint="eastAsia" w:eastAsia="仿宋_GB2312" w:asciiTheme="minorAscii"/>
          <w:b w:val="0"/>
          <w:bCs w:val="0"/>
          <w:color w:val="FF000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（七）核定的排放总量：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三、防治污染设施的建设和运行情况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color w:val="FF000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（一）废气治理设施：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无（锅炉已拆除无废气产生源）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（二）废水治理设施：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废水污染防治设施简介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00" w:firstLineChars="200"/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</w:pP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我公司废水处理站1个，设计处理废水量每天1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  <w:lang w:val="en-US" w:eastAsia="zh-CN"/>
        </w:rPr>
        <w:t>5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00立方左右、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  <w:lang w:val="en-US" w:eastAsia="zh-CN"/>
        </w:rPr>
        <w:t>实际每天800立方左右，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处理的运行工艺为；格栅→调节池→初沉池→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  <w:lang w:val="en-US" w:eastAsia="zh-CN"/>
        </w:rPr>
        <w:t>气浮机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→集水井→厌氧处理→兼氧池→好氧处理→二沉池→絮凝沉淀池。生产废水自流至固液分离装置（格栅）进行初步分离，去除固体物残渣，而滤液经过自流进入调节池调节，降解部分有机物和进行PH值的调节，通过水泵进入初沉池→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  <w:lang w:val="en-US" w:eastAsia="zh-CN"/>
        </w:rPr>
        <w:t>气浮机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进行小颗粒固体废物和悬浮物分离，自流至集水井，用水泵进入厌氧系统进行厌氧消化，有效地降低废水的有机物，厌氧后的水直接自流至兼氧池，在通过自流进入好氧处理，进行脱氮除磷，同时进一步降低有机物、好氧出水经过自流进入二沉池，二沉池通过自流进入絮凝沉淀池处理，添加化学药剂进行絮凝沉淀，较大程度地降低废水中的悬浮物和总磷，以上所述处理措施后，各污染物指标显著降低，以满足国家环保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00" w:firstLineChars="200"/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（三）固废防治设施：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主要是豆渣、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  <w:lang w:val="en-US" w:eastAsia="zh-CN"/>
        </w:rPr>
        <w:t>污泥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。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  <w:lang w:val="en-US" w:eastAsia="zh-CN"/>
        </w:rPr>
        <w:t>豆渣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交当地农户喂猪养鱼；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  <w:lang w:val="en-US" w:eastAsia="zh-CN"/>
        </w:rPr>
        <w:t>污水处理站污泥拉到龙发环保一般固废填埋场填埋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等。</w:t>
      </w:r>
      <w:r>
        <w:rPr>
          <w:rFonts w:hint="eastAsia" w:hAnsi="FangSong" w:eastAsia="FangSong" w:cs="FangSong" w:asciiTheme="minorAscii"/>
          <w:b w:val="0"/>
          <w:bCs w:val="0"/>
          <w:color w:val="000000"/>
          <w:sz w:val="30"/>
          <w:szCs w:val="30"/>
          <w:lang w:val="en-US" w:eastAsia="zh-CN"/>
        </w:rPr>
        <w:t>（附：处置合同）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00" w:firstLineChars="200"/>
        <w:rPr>
          <w:rFonts w:hint="default" w:hAnsi="FangSong" w:eastAsia="FangSong" w:cs="FangSong" w:asciiTheme="minorAscii"/>
          <w:b w:val="0"/>
          <w:bCs w:val="0"/>
          <w:color w:val="000000"/>
          <w:sz w:val="30"/>
          <w:szCs w:val="30"/>
          <w:lang w:val="en-US" w:eastAsia="zh-CN"/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（四）危废防治设施：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  <w:lang w:val="en-US" w:eastAsia="zh-CN"/>
        </w:rPr>
        <w:t>主要是在线监测设备的废液、我公司按规定建设有危废暂存间、和</w:t>
      </w:r>
      <w:r>
        <w:rPr>
          <w:rFonts w:hint="eastAsia" w:hAnsi="FangSong" w:eastAsia="FangSong" w:cs="FangSong" w:asciiTheme="minorAscii"/>
          <w:b w:val="0"/>
          <w:bCs w:val="0"/>
          <w:color w:val="000000"/>
          <w:sz w:val="30"/>
          <w:szCs w:val="30"/>
        </w:rPr>
        <w:t>四川省中明环境治理有限公司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  <w:lang w:val="en-US" w:eastAsia="zh-CN"/>
        </w:rPr>
        <w:t>签订</w:t>
      </w:r>
      <w:r>
        <w:rPr>
          <w:rFonts w:hint="eastAsia" w:hAnsi="FangSong" w:eastAsia="FangSong" w:cs="FangSong" w:asciiTheme="minorAscii"/>
          <w:b w:val="0"/>
          <w:bCs w:val="0"/>
          <w:sz w:val="30"/>
          <w:szCs w:val="30"/>
        </w:rPr>
        <w:t>危险废物安全处置委托议</w:t>
      </w:r>
      <w:r>
        <w:rPr>
          <w:rFonts w:hint="eastAsia" w:hAnsi="FangSong" w:eastAsia="FangSong" w:cs="FangSong" w:asciiTheme="minorAscii"/>
          <w:b w:val="0"/>
          <w:bCs w:val="0"/>
          <w:sz w:val="30"/>
          <w:szCs w:val="30"/>
          <w:lang w:eastAsia="zh-CN"/>
        </w:rPr>
        <w:t>、</w:t>
      </w:r>
      <w:r>
        <w:rPr>
          <w:rFonts w:hint="eastAsia" w:hAnsi="FangSong" w:eastAsia="FangSong" w:cs="FangSong" w:asciiTheme="minorAscii"/>
          <w:b w:val="0"/>
          <w:bCs w:val="0"/>
          <w:sz w:val="30"/>
          <w:szCs w:val="30"/>
          <w:lang w:val="en-US" w:eastAsia="zh-CN"/>
        </w:rPr>
        <w:t>危废由</w:t>
      </w:r>
      <w:r>
        <w:rPr>
          <w:rFonts w:hint="eastAsia" w:hAnsi="FangSong" w:eastAsia="FangSong" w:cs="FangSong" w:asciiTheme="minorAscii"/>
          <w:b w:val="0"/>
          <w:bCs w:val="0"/>
          <w:color w:val="000000"/>
          <w:sz w:val="30"/>
          <w:szCs w:val="30"/>
        </w:rPr>
        <w:t>四川省中明环境治理有限公司</w:t>
      </w:r>
      <w:r>
        <w:rPr>
          <w:rFonts w:hint="eastAsia" w:hAnsi="FangSong" w:eastAsia="FangSong" w:cs="FangSong" w:asciiTheme="minorAscii"/>
          <w:b w:val="0"/>
          <w:bCs w:val="0"/>
          <w:color w:val="000000"/>
          <w:sz w:val="30"/>
          <w:szCs w:val="30"/>
          <w:lang w:val="en-US" w:eastAsia="zh-CN"/>
        </w:rPr>
        <w:t>处理。（附：处置合同）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color w:val="FF000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（五）噪声防治设施：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车间和办公区域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000000" w:themeColor="text1"/>
          <w:spacing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以安装隔音门</w:t>
      </w:r>
      <w:r>
        <w:rPr>
          <w:rFonts w:hint="eastAsia" w:hAnsi="FangSong" w:eastAsia="FangSong" w:cs="FangSong" w:asciiTheme="minorAscii"/>
          <w:b w:val="0"/>
          <w:bCs w:val="0"/>
          <w:i w:val="0"/>
          <w:caps w:val="0"/>
          <w:color w:val="2E2E2E"/>
          <w:spacing w:val="0"/>
          <w:sz w:val="30"/>
          <w:szCs w:val="30"/>
          <w:shd w:val="clear" w:color="auto" w:fill="FFFFFF"/>
        </w:rPr>
        <w:t>、窗、减振垫等，对周边影响较小</w:t>
      </w:r>
      <w:r>
        <w:rPr>
          <w:rFonts w:hint="eastAsia" w:hAnsi="FangSong" w:eastAsia="FangSong" w:cs="FangSong" w:asciiTheme="minorAscii"/>
          <w:b w:val="0"/>
          <w:bCs w:val="0"/>
          <w:color w:val="000000"/>
          <w:sz w:val="30"/>
          <w:szCs w:val="30"/>
          <w:lang w:val="en-US" w:eastAsia="zh-CN"/>
        </w:rPr>
        <w:t>（附：检验报告）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四、建设项目环境影响评价及其他环境保护许可证情况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color w:val="FF000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我公司《建设项目环境影响评价》由具有从事环境影响评价资质单位编制、由评审专家经过评审、由环境监测站出具监测报告进行验收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（附环评封面、专家意见、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环评批复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）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五、突发环境事件应急预案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color w:val="FF000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依据《环境污染事故应急预案》相关要求，特制订《四川南溪徽记食品有限公司突发环境事件应急预案》明确了产生环境污染事件的危险性、保障措施、预防和预警、应急响应及救援措施、应急监测等，</w:t>
      </w:r>
      <w:r>
        <w:rPr>
          <w:rFonts w:hint="eastAsia" w:eastAsia="仿宋_GB2312" w:asciiTheme="minorAscii"/>
          <w:b w:val="0"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（附封面、专家意见、备案表图片）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六、其他应当公开的环境信息</w:t>
      </w:r>
    </w:p>
    <w:p>
      <w:pPr>
        <w:spacing w:after="0" w:line="540" w:lineRule="exact"/>
        <w:rPr>
          <w:rFonts w:hint="eastAsia" w:eastAsia="仿宋_GB2312" w:asciiTheme="minorAscii"/>
          <w:b w:val="0"/>
          <w:bCs w:val="0"/>
          <w:sz w:val="30"/>
          <w:szCs w:val="30"/>
        </w:rPr>
      </w:pPr>
      <w:r>
        <w:rPr>
          <w:rFonts w:hint="eastAsia" w:eastAsia="仿宋_GB2312" w:asciiTheme="minorAscii"/>
          <w:b w:val="0"/>
          <w:bCs w:val="0"/>
          <w:sz w:val="30"/>
          <w:szCs w:val="30"/>
        </w:rPr>
        <w:t>七、自行监测方案</w:t>
      </w:r>
    </w:p>
    <w:p>
      <w:pPr>
        <w:spacing w:beforeLines="50" w:afterLines="50" w:line="400" w:lineRule="exact"/>
        <w:rPr>
          <w:rFonts w:ascii="FangSong" w:hAnsi="FangSong" w:eastAsia="FangSong"/>
          <w:sz w:val="32"/>
          <w:szCs w:val="32"/>
        </w:rPr>
      </w:pPr>
      <w:r>
        <w:rPr>
          <w:rFonts w:hint="eastAsia" w:ascii="SimHei" w:hAnsi="SimHei" w:eastAsia="SimHei"/>
          <w:b/>
          <w:sz w:val="32"/>
          <w:szCs w:val="32"/>
        </w:rPr>
        <w:t>（一）企业基本情况</w:t>
      </w:r>
    </w:p>
    <w:tbl>
      <w:tblPr>
        <w:tblStyle w:val="3"/>
        <w:tblW w:w="8744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4"/>
        <w:gridCol w:w="1401"/>
        <w:gridCol w:w="770"/>
        <w:gridCol w:w="284"/>
        <w:gridCol w:w="1050"/>
        <w:gridCol w:w="1562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4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企业名称</w:t>
            </w:r>
          </w:p>
        </w:tc>
        <w:tc>
          <w:tcPr>
            <w:tcW w:w="3505" w:type="dxa"/>
            <w:gridSpan w:val="4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四川南溪徽记食品有限公司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法人代表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吕金刚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044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地址</w:t>
            </w:r>
          </w:p>
        </w:tc>
        <w:tc>
          <w:tcPr>
            <w:tcW w:w="6700" w:type="dxa"/>
            <w:gridSpan w:val="6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四川省宜宾市南溪区九龙工业集中区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4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地理位置</w:t>
            </w:r>
          </w:p>
        </w:tc>
        <w:tc>
          <w:tcPr>
            <w:tcW w:w="1401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经度</w:t>
            </w:r>
          </w:p>
        </w:tc>
        <w:tc>
          <w:tcPr>
            <w:tcW w:w="2104" w:type="dxa"/>
            <w:gridSpan w:val="3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105度0分51.37199999998643秒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纬度</w:t>
            </w:r>
          </w:p>
        </w:tc>
        <w:tc>
          <w:tcPr>
            <w:tcW w:w="1633" w:type="dxa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28度50分29.759999999998854秒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4" w:type="dxa"/>
            <w:vMerge w:val="restart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联系人</w:t>
            </w:r>
          </w:p>
        </w:tc>
        <w:tc>
          <w:tcPr>
            <w:tcW w:w="1401" w:type="dxa"/>
            <w:vMerge w:val="restart"/>
            <w:vAlign w:val="center"/>
          </w:tcPr>
          <w:p>
            <w:pPr>
              <w:jc w:val="center"/>
              <w:rPr>
                <w:rFonts w:hint="eastAsia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袁万科</w:t>
            </w:r>
          </w:p>
        </w:tc>
        <w:tc>
          <w:tcPr>
            <w:tcW w:w="105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联系</w:t>
            </w:r>
          </w:p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方式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电话</w:t>
            </w:r>
          </w:p>
        </w:tc>
        <w:tc>
          <w:tcPr>
            <w:tcW w:w="3195" w:type="dxa"/>
            <w:gridSpan w:val="2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13684167969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044" w:type="dxa"/>
            <w:vMerge w:val="continue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</w:p>
        </w:tc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</w:p>
        </w:tc>
        <w:tc>
          <w:tcPr>
            <w:tcW w:w="105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ascii="SimSun" w:hAnsi="SimSun"/>
                <w:sz w:val="18"/>
                <w:szCs w:val="18"/>
              </w:rPr>
              <w:t>Email</w:t>
            </w:r>
          </w:p>
        </w:tc>
        <w:tc>
          <w:tcPr>
            <w:tcW w:w="3195" w:type="dxa"/>
            <w:gridSpan w:val="2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44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所属行业</w:t>
            </w:r>
          </w:p>
        </w:tc>
        <w:tc>
          <w:tcPr>
            <w:tcW w:w="6700" w:type="dxa"/>
            <w:gridSpan w:val="6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食品制造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044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污染源类别</w:t>
            </w:r>
            <w:r>
              <w:rPr>
                <w:rFonts w:ascii="SimSun" w:hAnsi="SimSu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6700" w:type="dxa"/>
            <w:gridSpan w:val="6"/>
            <w:vAlign w:val="center"/>
          </w:tcPr>
          <w:p>
            <w:pPr>
              <w:jc w:val="center"/>
              <w:rPr>
                <w:rFonts w:hint="eastAsia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废水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4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生产周期</w:t>
            </w:r>
          </w:p>
        </w:tc>
        <w:tc>
          <w:tcPr>
            <w:tcW w:w="6700" w:type="dxa"/>
            <w:gridSpan w:val="6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72小时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044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自行监测开展</w:t>
            </w:r>
          </w:p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技术手段</w:t>
            </w:r>
            <w:r>
              <w:rPr>
                <w:rFonts w:ascii="SimSun" w:hAnsi="SimSu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700" w:type="dxa"/>
            <w:gridSpan w:val="6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Microsoft JhengHei" w:hAnsi="Microsoft JhengHei" w:eastAsia="Microsoft JhengHei" w:cs="Microsoft JhengHei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自有人员、自有场所、自有设备开展自行监测，</w:t>
            </w:r>
            <w:r>
              <w:rPr>
                <w:rFonts w:hint="eastAsia" w:ascii="Microsoft JhengHei" w:hAnsi="Microsoft JhengHei" w:eastAsia="Microsoft JhengHei" w:cs="Microsoft JhengHei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同时</w:t>
            </w:r>
            <w:r>
              <w:rPr>
                <w:rFonts w:hint="eastAsia" w:ascii="Microsoft JhengHei" w:hAnsi="Microsoft JhengHei" w:eastAsia="Microsoft JhengHei" w:cs="Microsoft JhengHei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委托其他检(监)测机构代其开展自行监测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044" w:type="dxa"/>
            <w:vMerge w:val="restart"/>
            <w:vAlign w:val="center"/>
          </w:tcPr>
          <w:p>
            <w:pPr>
              <w:jc w:val="center"/>
              <w:rPr>
                <w:rFonts w:hint="eastAsia" w:ascii="SimSun" w:hAns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自行监测</w:t>
            </w:r>
          </w:p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开展项目</w:t>
            </w:r>
          </w:p>
        </w:tc>
        <w:tc>
          <w:tcPr>
            <w:tcW w:w="2171" w:type="dxa"/>
            <w:gridSpan w:val="2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自动监测项目</w:t>
            </w:r>
          </w:p>
        </w:tc>
        <w:tc>
          <w:tcPr>
            <w:tcW w:w="4529" w:type="dxa"/>
            <w:gridSpan w:val="4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COD、氨氮、总磷、总氮、PH值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44" w:type="dxa"/>
            <w:vMerge w:val="continue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</w:p>
        </w:tc>
        <w:tc>
          <w:tcPr>
            <w:tcW w:w="2171" w:type="dxa"/>
            <w:gridSpan w:val="2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手工监测项目</w:t>
            </w:r>
          </w:p>
        </w:tc>
        <w:tc>
          <w:tcPr>
            <w:tcW w:w="4529" w:type="dxa"/>
            <w:gridSpan w:val="4"/>
            <w:vAlign w:val="center"/>
          </w:tcPr>
          <w:p>
            <w:pPr>
              <w:jc w:val="center"/>
              <w:rPr>
                <w:rFonts w:hint="default" w:ascii="SimSun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悬浮物、色度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044" w:type="dxa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自行监测</w:t>
            </w:r>
          </w:p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开展方式</w:t>
            </w:r>
          </w:p>
        </w:tc>
        <w:tc>
          <w:tcPr>
            <w:tcW w:w="2171" w:type="dxa"/>
            <w:gridSpan w:val="2"/>
            <w:vAlign w:val="center"/>
          </w:tcPr>
          <w:p>
            <w:pPr>
              <w:jc w:val="center"/>
              <w:rPr>
                <w:rFonts w:ascii="SimSun"/>
                <w:sz w:val="18"/>
                <w:szCs w:val="18"/>
              </w:rPr>
            </w:pPr>
            <w:r>
              <w:rPr>
                <w:rFonts w:hint="eastAsia" w:ascii="SimSun" w:hAnsi="SimSun"/>
                <w:sz w:val="18"/>
                <w:szCs w:val="18"/>
              </w:rPr>
              <w:t>委托监测</w:t>
            </w:r>
            <w:r>
              <w:rPr>
                <w:rFonts w:ascii="SimSun" w:hAnsi="SimSu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4529" w:type="dxa"/>
            <w:gridSpan w:val="4"/>
            <w:vAlign w:val="center"/>
          </w:tcPr>
          <w:p>
            <w:pPr>
              <w:jc w:val="center"/>
              <w:rPr>
                <w:rFonts w:hint="default" w:ascii="SimSun"/>
                <w:sz w:val="18"/>
                <w:szCs w:val="18"/>
                <w:lang w:val="en-US"/>
              </w:rPr>
            </w:pPr>
            <w:r>
              <w:rPr>
                <w:rFonts w:hint="eastAsia" w:ascii="SimSun"/>
                <w:sz w:val="18"/>
                <w:szCs w:val="18"/>
                <w:lang w:val="en-US" w:eastAsia="zh-CN"/>
              </w:rPr>
              <w:t>动植物油、BOD、噪声</w:t>
            </w:r>
          </w:p>
        </w:tc>
      </w:tr>
    </w:tbl>
    <w:p>
      <w:pPr>
        <w:spacing w:line="380" w:lineRule="exact"/>
        <w:rPr>
          <w:rFonts w:ascii="SimHei" w:hAnsi="SimHei" w:eastAsia="SimHei"/>
          <w:b/>
          <w:sz w:val="32"/>
          <w:szCs w:val="32"/>
        </w:rPr>
        <w:sectPr>
          <w:pgSz w:w="11906" w:h="16838"/>
          <w:pgMar w:top="1440" w:right="1800" w:bottom="1440" w:left="1800" w:header="708" w:footer="708" w:gutter="0"/>
          <w:cols w:space="708" w:num="1"/>
          <w:docGrid w:linePitch="360" w:charSpace="0"/>
        </w:sectPr>
      </w:pPr>
    </w:p>
    <w:p>
      <w:pPr>
        <w:numPr>
          <w:ilvl w:val="0"/>
          <w:numId w:val="2"/>
        </w:numPr>
        <w:spacing w:line="380" w:lineRule="exact"/>
        <w:ind w:firstLine="643" w:firstLineChars="200"/>
        <w:rPr>
          <w:rFonts w:hint="eastAsia" w:ascii="SimHei" w:hAnsi="SimHei" w:eastAsia="SimHei"/>
          <w:b/>
          <w:sz w:val="32"/>
          <w:szCs w:val="32"/>
        </w:rPr>
      </w:pPr>
      <w:r>
        <w:rPr>
          <w:rFonts w:hint="eastAsia" w:ascii="SimHei" w:hAnsi="SimHei" w:eastAsia="SimHei"/>
          <w:b/>
          <w:sz w:val="32"/>
          <w:szCs w:val="32"/>
        </w:rPr>
        <w:t>监测内容</w:t>
      </w:r>
    </w:p>
    <w:tbl>
      <w:tblPr>
        <w:tblStyle w:val="3"/>
        <w:tblW w:w="16091" w:type="dxa"/>
        <w:tblInd w:w="-10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062"/>
        <w:gridCol w:w="1304"/>
        <w:gridCol w:w="1827"/>
        <w:gridCol w:w="2350"/>
        <w:gridCol w:w="1250"/>
        <w:gridCol w:w="1788"/>
        <w:gridCol w:w="1762"/>
        <w:gridCol w:w="3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tl2br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42" w:firstLineChars="200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监测项目</w:t>
            </w:r>
          </w:p>
          <w:p>
            <w:pPr>
              <w:spacing w:line="320" w:lineRule="exact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监测内容</w:t>
            </w:r>
          </w:p>
        </w:tc>
        <w:tc>
          <w:tcPr>
            <w:tcW w:w="1304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监测点位</w:t>
            </w:r>
          </w:p>
        </w:tc>
        <w:tc>
          <w:tcPr>
            <w:tcW w:w="1827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自动监测频次</w:t>
            </w:r>
          </w:p>
        </w:tc>
        <w:tc>
          <w:tcPr>
            <w:tcW w:w="2350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执行排放标准</w:t>
            </w:r>
          </w:p>
        </w:tc>
        <w:tc>
          <w:tcPr>
            <w:tcW w:w="1250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16" w:leftChars="-61" w:right="-103" w:rightChars="-47" w:hanging="18" w:hangingChars="8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标准限值</w:t>
            </w:r>
          </w:p>
        </w:tc>
        <w:tc>
          <w:tcPr>
            <w:tcW w:w="1788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16" w:leftChars="-61" w:right="-103" w:rightChars="-47" w:hanging="18" w:hangingChars="8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监测方法</w:t>
            </w:r>
          </w:p>
        </w:tc>
        <w:tc>
          <w:tcPr>
            <w:tcW w:w="176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16" w:leftChars="-61" w:right="-103" w:rightChars="-47" w:hanging="18" w:hangingChars="8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分析仪器</w:t>
            </w:r>
          </w:p>
        </w:tc>
        <w:tc>
          <w:tcPr>
            <w:tcW w:w="3007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ind w:left="-116" w:leftChars="-61" w:right="-103" w:rightChars="-47" w:hanging="18" w:hangingChars="8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手工监测频次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741" w:type="dxa"/>
            <w:vMerge w:val="restart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SimHei" w:hAnsi="SimHei" w:eastAsia="SimHei"/>
                <w:b/>
                <w:bCs/>
                <w:sz w:val="24"/>
              </w:rPr>
            </w:pPr>
            <w:r>
              <w:rPr>
                <w:rFonts w:hint="eastAsia" w:ascii="SimHei" w:hAnsi="SimHei" w:eastAsia="SimHei"/>
                <w:b/>
                <w:bCs/>
                <w:sz w:val="24"/>
              </w:rPr>
              <w:t>监</w:t>
            </w:r>
          </w:p>
          <w:p>
            <w:pPr>
              <w:spacing w:line="320" w:lineRule="exact"/>
              <w:jc w:val="center"/>
              <w:rPr>
                <w:rFonts w:ascii="SimHei" w:hAnsi="SimHei" w:eastAsia="SimHei"/>
                <w:b/>
                <w:bCs/>
                <w:sz w:val="24"/>
              </w:rPr>
            </w:pPr>
            <w:r>
              <w:rPr>
                <w:rFonts w:hint="eastAsia" w:ascii="SimHei" w:hAnsi="SimHei" w:eastAsia="SimHei"/>
                <w:b/>
                <w:bCs/>
                <w:sz w:val="24"/>
              </w:rPr>
              <w:t>测</w:t>
            </w:r>
          </w:p>
          <w:p>
            <w:pPr>
              <w:spacing w:line="320" w:lineRule="exact"/>
              <w:jc w:val="center"/>
              <w:rPr>
                <w:rFonts w:ascii="SimHei" w:hAnsi="SimHei" w:eastAsia="SimHei"/>
                <w:b/>
                <w:bCs/>
                <w:sz w:val="24"/>
              </w:rPr>
            </w:pPr>
            <w:r>
              <w:rPr>
                <w:rFonts w:hint="eastAsia" w:ascii="SimHei" w:hAnsi="SimHei" w:eastAsia="SimHei"/>
                <w:b/>
                <w:bCs/>
                <w:sz w:val="24"/>
              </w:rPr>
              <w:t>指</w:t>
            </w:r>
          </w:p>
          <w:p>
            <w:pPr>
              <w:spacing w:line="320" w:lineRule="exact"/>
              <w:jc w:val="center"/>
              <w:rPr>
                <w:rFonts w:ascii="SimHei" w:hAnsi="SimHei" w:eastAsia="SimHei"/>
                <w:b/>
                <w:bCs/>
                <w:sz w:val="24"/>
              </w:rPr>
            </w:pPr>
            <w:r>
              <w:rPr>
                <w:rFonts w:hint="eastAsia" w:ascii="SimHei" w:hAnsi="SimHei" w:eastAsia="SimHei"/>
                <w:b/>
                <w:bCs/>
                <w:sz w:val="24"/>
              </w:rPr>
              <w:t>标</w:t>
            </w:r>
          </w:p>
          <w:p>
            <w:pPr>
              <w:spacing w:line="320" w:lineRule="exact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COD</w:t>
            </w:r>
          </w:p>
        </w:tc>
        <w:tc>
          <w:tcPr>
            <w:tcW w:w="13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厂区出水口</w:t>
            </w:r>
          </w:p>
        </w:tc>
        <w:tc>
          <w:tcPr>
            <w:tcW w:w="182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自动检测每隔2小时一次全天12次监测</w:t>
            </w:r>
          </w:p>
        </w:tc>
        <w:tc>
          <w:tcPr>
            <w:tcW w:w="235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污水综合排放标准《GB8978-1996》表四中的三级标准</w:t>
            </w:r>
          </w:p>
        </w:tc>
        <w:tc>
          <w:tcPr>
            <w:tcW w:w="12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≤500mg/l</w:t>
            </w:r>
          </w:p>
        </w:tc>
        <w:tc>
          <w:tcPr>
            <w:tcW w:w="178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重铬酸钾法</w:t>
            </w:r>
          </w:p>
        </w:tc>
        <w:tc>
          <w:tcPr>
            <w:tcW w:w="176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自动监测为COD在线分析仪</w:t>
            </w:r>
          </w:p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</w:p>
        </w:tc>
        <w:tc>
          <w:tcPr>
            <w:tcW w:w="300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7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氨氮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厂区出水口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自动检测每隔2小时一次全天12次监测</w:t>
            </w:r>
          </w:p>
        </w:tc>
        <w:tc>
          <w:tcPr>
            <w:tcW w:w="23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纳氏试剂分光法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自动监测为氨氮在线分析仪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总磷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厂区出水口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自动检测每隔2小时一次全天12次监测</w:t>
            </w:r>
          </w:p>
        </w:tc>
        <w:tc>
          <w:tcPr>
            <w:tcW w:w="23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≤8mg/l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自动监测为总氮在线分析仪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7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总氮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厂区出水口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自动检测每隔2小时一次全天12次监测</w:t>
            </w:r>
          </w:p>
        </w:tc>
        <w:tc>
          <w:tcPr>
            <w:tcW w:w="23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自动监测为总磷在线分析仪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tabs>
                <w:tab w:val="left" w:pos="365"/>
                <w:tab w:val="center" w:pos="1332"/>
              </w:tabs>
              <w:spacing w:line="320" w:lineRule="exact"/>
              <w:ind w:right="-1778" w:rightChars="-808"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PH值</w:t>
            </w:r>
            <w:r>
              <w:rPr>
                <w:rFonts w:hint="eastAsia"/>
                <w:sz w:val="18"/>
                <w:szCs w:val="18"/>
              </w:rPr>
              <w:tab/>
            </w:r>
            <w:r>
              <w:rPr>
                <w:rFonts w:hint="eastAsia"/>
                <w:sz w:val="18"/>
                <w:szCs w:val="18"/>
              </w:rPr>
              <w:t>B OD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厂区出水口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自动检测每隔2小时一次全天12次监测</w:t>
            </w:r>
          </w:p>
        </w:tc>
        <w:tc>
          <w:tcPr>
            <w:tcW w:w="2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Microsoft YaHei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sz w:val="18"/>
                <w:szCs w:val="18"/>
                <w:lang w:val="en-US" w:eastAsia="zh-CN"/>
              </w:rPr>
              <w:t>6-9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tabs>
                <w:tab w:val="left" w:pos="434"/>
                <w:tab w:val="center" w:pos="1331"/>
              </w:tabs>
              <w:spacing w:line="320" w:lineRule="exact"/>
              <w:ind w:right="-1778" w:rightChars="-808"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色度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厂区出水口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手工监测</w:t>
            </w:r>
          </w:p>
        </w:tc>
        <w:tc>
          <w:tcPr>
            <w:tcW w:w="2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―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比色法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量筒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7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SS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厂区出水口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手工监测</w:t>
            </w:r>
          </w:p>
        </w:tc>
        <w:tc>
          <w:tcPr>
            <w:tcW w:w="2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SimSun" w:hAnsi="SimSun" w:cs="SimSun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≤400mg/l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手工监测</w:t>
            </w:r>
            <w:r>
              <w:rPr>
                <w:sz w:val="18"/>
                <w:szCs w:val="18"/>
              </w:rPr>
              <w:t>重量法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电子天平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7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left w:val="nil"/>
            </w:tcBorders>
            <w:noWrap w:val="0"/>
            <w:vAlign w:val="center"/>
          </w:tcPr>
          <w:p>
            <w:pPr>
              <w:tabs>
                <w:tab w:val="left" w:pos="365"/>
                <w:tab w:val="center" w:pos="1332"/>
              </w:tabs>
              <w:spacing w:line="320" w:lineRule="exact"/>
              <w:ind w:right="-1778" w:rightChars="-808" w:firstLine="180" w:firstLineChars="1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BOD</w:t>
            </w:r>
            <w:r>
              <w:rPr>
                <w:rFonts w:hint="eastAsia"/>
                <w:sz w:val="18"/>
                <w:szCs w:val="18"/>
              </w:rPr>
              <w:tab/>
            </w:r>
            <w:r>
              <w:rPr>
                <w:rFonts w:hint="eastAsia"/>
                <w:sz w:val="18"/>
                <w:szCs w:val="18"/>
              </w:rPr>
              <w:t>B OD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厂区出水口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手工监测</w:t>
            </w:r>
          </w:p>
        </w:tc>
        <w:tc>
          <w:tcPr>
            <w:tcW w:w="235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≤300mg/l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稀释与接种法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生化培养箱</w:t>
            </w:r>
          </w:p>
        </w:tc>
        <w:tc>
          <w:tcPr>
            <w:tcW w:w="30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委托检测/每月一次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4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left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动植物油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厂区出水口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手工监测</w:t>
            </w:r>
          </w:p>
        </w:tc>
        <w:tc>
          <w:tcPr>
            <w:tcW w:w="235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SimSun" w:hAnsi="SimSun" w:cs="SimSun"/>
                <w:sz w:val="18"/>
                <w:szCs w:val="18"/>
              </w:rPr>
              <w:t>≤100mg/l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分光测油仪</w:t>
            </w:r>
          </w:p>
        </w:tc>
        <w:tc>
          <w:tcPr>
            <w:tcW w:w="1762" w:type="dxa"/>
            <w:noWrap w:val="0"/>
            <w:vAlign w:val="center"/>
          </w:tcPr>
          <w:p>
            <w:pPr>
              <w:tabs>
                <w:tab w:val="left" w:pos="238"/>
              </w:tabs>
              <w:spacing w:line="32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0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委托检测/每月一次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280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污染物排放方式</w:t>
            </w:r>
          </w:p>
          <w:p>
            <w:pPr>
              <w:spacing w:line="320" w:lineRule="exact"/>
              <w:jc w:val="center"/>
              <w:rPr>
                <w:rFonts w:hint="eastAsia" w:ascii="Microsoft YaHei" w:hAnsi="Microsoft YaHei" w:eastAsia="Microsoft YaHei" w:cs="Microsoft YaHei"/>
                <w:sz w:val="18"/>
                <w:szCs w:val="18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及排放去向</w:t>
            </w:r>
          </w:p>
        </w:tc>
        <w:tc>
          <w:tcPr>
            <w:tcW w:w="13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="Microsoft YaHei" w:hAnsi="Microsoft YaHei" w:eastAsia="Microsoft YaHei" w:cs="Microsoft YaHei"/>
                <w:sz w:val="18"/>
                <w:szCs w:val="18"/>
              </w:rPr>
            </w:pPr>
            <w:r>
              <w:rPr>
                <w:rFonts w:hint="eastAsia" w:eastAsia="仿宋_GB2312" w:asciiTheme="minorAscii"/>
                <w:b w:val="0"/>
                <w:bCs w:val="0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经处理达标后进入园区工业污水处理站集中处理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280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Microsoft YaHei" w:hAnsi="Microsoft YaHei" w:eastAsia="Microsoft YaHei" w:cs="Microsoft YaHei"/>
                <w:sz w:val="18"/>
                <w:szCs w:val="18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监测质量控制</w:t>
            </w:r>
          </w:p>
        </w:tc>
        <w:tc>
          <w:tcPr>
            <w:tcW w:w="13288" w:type="dxa"/>
            <w:gridSpan w:val="7"/>
            <w:noWrap w:val="0"/>
            <w:vAlign w:val="center"/>
          </w:tcPr>
          <w:p>
            <w:pPr>
              <w:spacing w:before="62" w:beforeLines="20" w:after="62" w:afterLines="20" w:line="360" w:lineRule="auto"/>
              <w:jc w:val="center"/>
              <w:rPr>
                <w:rFonts w:hint="eastAsia" w:ascii="Microsoft YaHei" w:hAnsi="Microsoft YaHei" w:eastAsia="Microsoft YaHei" w:cs="Microsoft YaHei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0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SimHei" w:hAnsi="SimHei" w:eastAsia="SimHei"/>
                <w:b/>
                <w:szCs w:val="21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监测结果</w:t>
            </w:r>
          </w:p>
          <w:p>
            <w:pPr>
              <w:spacing w:line="380" w:lineRule="exact"/>
              <w:jc w:val="center"/>
              <w:rPr>
                <w:rFonts w:hint="eastAsia" w:ascii="Microsoft YaHei" w:hAnsi="Microsoft YaHei" w:eastAsia="Microsoft YaHei" w:cs="Microsoft YaHei"/>
                <w:sz w:val="18"/>
                <w:szCs w:val="18"/>
              </w:rPr>
            </w:pPr>
            <w:r>
              <w:rPr>
                <w:rFonts w:hint="eastAsia" w:ascii="SimHei" w:hAnsi="SimHei" w:eastAsia="SimHei"/>
                <w:b/>
                <w:szCs w:val="21"/>
              </w:rPr>
              <w:t>公开时限</w:t>
            </w:r>
          </w:p>
        </w:tc>
        <w:tc>
          <w:tcPr>
            <w:tcW w:w="13288" w:type="dxa"/>
            <w:gridSpan w:val="7"/>
            <w:noWrap w:val="0"/>
            <w:vAlign w:val="top"/>
          </w:tcPr>
          <w:p>
            <w:pPr>
              <w:numPr>
                <w:numId w:val="0"/>
              </w:numPr>
              <w:spacing w:before="62" w:beforeLines="20" w:after="62" w:afterLines="20"/>
              <w:ind w:leftChars="0"/>
              <w:jc w:val="center"/>
              <w:rPr>
                <w:rFonts w:hint="eastAsia" w:ascii="Microsoft YaHei" w:hAnsi="Microsoft YaHei" w:eastAsia="Microsoft YaHei" w:cs="Microsoft YaHei"/>
                <w:sz w:val="18"/>
                <w:szCs w:val="18"/>
              </w:rPr>
            </w:pPr>
            <w:r>
              <w:rPr>
                <w:rFonts w:hint="eastAsia" w:ascii="Microsoft YaHei" w:hAnsi="Microsoft YaHei" w:cs="Microsoft YaHei"/>
                <w:sz w:val="22"/>
                <w:szCs w:val="22"/>
                <w:lang w:val="en-US" w:eastAsia="zh-CN"/>
              </w:rPr>
              <w:t>2020年</w:t>
            </w:r>
          </w:p>
        </w:tc>
      </w:tr>
    </w:tbl>
    <w:p>
      <w:pPr>
        <w:numPr>
          <w:ilvl w:val="0"/>
          <w:numId w:val="0"/>
        </w:numPr>
        <w:spacing w:line="380" w:lineRule="exact"/>
        <w:rPr>
          <w:rFonts w:hint="eastAsia" w:ascii="SimHei" w:hAnsi="SimHei" w:eastAsia="SimHei"/>
          <w:b/>
          <w:sz w:val="32"/>
          <w:szCs w:val="32"/>
        </w:rPr>
      </w:pPr>
    </w:p>
    <w:p>
      <w:pPr>
        <w:spacing w:after="0" w:line="540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SimHe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FangSong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仿宋_GB2312">
    <w:altName w:val="FangSong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30B19C"/>
    <w:multiLevelType w:val="singleLevel"/>
    <w:tmpl w:val="A630B19C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63C9FD0"/>
    <w:multiLevelType w:val="singleLevel"/>
    <w:tmpl w:val="463C9FD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51765"/>
    <w:rsid w:val="00065C90"/>
    <w:rsid w:val="00143A28"/>
    <w:rsid w:val="00323B43"/>
    <w:rsid w:val="003D37D8"/>
    <w:rsid w:val="00426133"/>
    <w:rsid w:val="004358AB"/>
    <w:rsid w:val="0044319A"/>
    <w:rsid w:val="00461A0C"/>
    <w:rsid w:val="005024DB"/>
    <w:rsid w:val="00763C8D"/>
    <w:rsid w:val="008B7726"/>
    <w:rsid w:val="009156E9"/>
    <w:rsid w:val="00A177A2"/>
    <w:rsid w:val="00BB7297"/>
    <w:rsid w:val="00C45239"/>
    <w:rsid w:val="00D31D50"/>
    <w:rsid w:val="00DB6CDD"/>
    <w:rsid w:val="12F33B50"/>
    <w:rsid w:val="1F7835F3"/>
    <w:rsid w:val="38C65798"/>
    <w:rsid w:val="38EE5897"/>
    <w:rsid w:val="58E837BD"/>
    <w:rsid w:val="60C84008"/>
    <w:rsid w:val="63B11E2B"/>
    <w:rsid w:val="71D0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Microsoft YaHei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140</Words>
  <Characters>798</Characters>
  <Lines>6</Lines>
  <Paragraphs>1</Paragraphs>
  <TotalTime>312</TotalTime>
  <ScaleCrop>false</ScaleCrop>
  <LinksUpToDate>false</LinksUpToDate>
  <CharactersWithSpaces>937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2020-06-12T08:20:10Z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